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C036" w14:textId="3FCFBA75" w:rsidR="0089641D" w:rsidRPr="00FE651F" w:rsidRDefault="00FE651F">
      <w:pPr>
        <w:rPr>
          <w:b/>
          <w:bCs/>
        </w:rPr>
      </w:pPr>
      <w:r w:rsidRPr="00FE651F">
        <w:rPr>
          <w:b/>
          <w:bCs/>
        </w:rPr>
        <w:t>UŽSAKOVO PATEIKIAMI</w:t>
      </w:r>
      <w:r w:rsidR="00065EAA">
        <w:rPr>
          <w:rStyle w:val="FootnoteReference"/>
          <w:b/>
          <w:bCs/>
        </w:rPr>
        <w:footnoteReference w:id="2"/>
      </w:r>
      <w:r w:rsidRPr="00FE651F">
        <w:rPr>
          <w:b/>
          <w:bCs/>
        </w:rPr>
        <w:t xml:space="preserve"> IŠSAMIOJO ENERGIJOS, ENERGIJOS IŠTEKLIŲ IR ŠALTO VANDENS VARTOJIMO AUDITO ĮVESTIES DUOMENYS</w:t>
      </w:r>
    </w:p>
    <w:p w14:paraId="03994CA7" w14:textId="77777777" w:rsidR="00FE651F" w:rsidRDefault="00FE651F" w:rsidP="00FA52E1">
      <w:r>
        <w:t>PAGRINDINIAI OBJEKTO DUOMENYS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4256"/>
        <w:gridCol w:w="4672"/>
      </w:tblGrid>
      <w:tr w:rsidR="00FE651F" w14:paraId="60F2BEDB" w14:textId="77777777">
        <w:trPr>
          <w:cantSplit/>
        </w:trPr>
        <w:tc>
          <w:tcPr>
            <w:tcW w:w="364" w:type="pct"/>
            <w:vAlign w:val="center"/>
          </w:tcPr>
          <w:p w14:paraId="44C7A787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36" w:type="pct"/>
            <w:gridSpan w:val="2"/>
          </w:tcPr>
          <w:p w14:paraId="3A72CB6C" w14:textId="7F8C380F" w:rsidR="00FE651F" w:rsidRPr="00E1570C" w:rsidRDefault="00FE651F">
            <w:pPr>
              <w:ind w:right="-108"/>
              <w:rPr>
                <w:sz w:val="22"/>
                <w:lang w:val="en-US"/>
              </w:rPr>
            </w:pPr>
            <w:r>
              <w:rPr>
                <w:sz w:val="22"/>
              </w:rPr>
              <w:t>Duomenys apie objektą ir jo pastatus</w:t>
            </w:r>
            <w:r w:rsidR="00E1570C" w:rsidRPr="00E1570C">
              <w:rPr>
                <w:b/>
                <w:bCs/>
                <w:sz w:val="22"/>
                <w:lang w:val="en-US"/>
              </w:rPr>
              <w:t>*</w:t>
            </w:r>
          </w:p>
        </w:tc>
      </w:tr>
      <w:tr w:rsidR="00FE651F" w14:paraId="19A1D0D3" w14:textId="77777777">
        <w:trPr>
          <w:cantSplit/>
        </w:trPr>
        <w:tc>
          <w:tcPr>
            <w:tcW w:w="364" w:type="pct"/>
            <w:shd w:val="clear" w:color="auto" w:fill="auto"/>
            <w:vAlign w:val="center"/>
          </w:tcPr>
          <w:p w14:paraId="5B90C27B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210" w:type="pct"/>
            <w:shd w:val="clear" w:color="auto" w:fill="auto"/>
          </w:tcPr>
          <w:p w14:paraId="5B81CA3D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Adresas</w:t>
            </w:r>
          </w:p>
        </w:tc>
        <w:tc>
          <w:tcPr>
            <w:tcW w:w="2426" w:type="pct"/>
          </w:tcPr>
          <w:p w14:paraId="1D387309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6688F6FB" w14:textId="77777777">
        <w:trPr>
          <w:cantSplit/>
        </w:trPr>
        <w:tc>
          <w:tcPr>
            <w:tcW w:w="364" w:type="pct"/>
            <w:shd w:val="clear" w:color="auto" w:fill="auto"/>
            <w:vAlign w:val="center"/>
          </w:tcPr>
          <w:p w14:paraId="6FD4FD1A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210" w:type="pct"/>
            <w:shd w:val="clear" w:color="auto" w:fill="auto"/>
          </w:tcPr>
          <w:p w14:paraId="58FEAF1A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Objekto valdytojas, jo telefonas, elektroninis paštas</w:t>
            </w:r>
          </w:p>
        </w:tc>
        <w:tc>
          <w:tcPr>
            <w:tcW w:w="2426" w:type="pct"/>
          </w:tcPr>
          <w:p w14:paraId="3D905E93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30869B3F" w14:textId="77777777">
        <w:trPr>
          <w:cantSplit/>
        </w:trPr>
        <w:tc>
          <w:tcPr>
            <w:tcW w:w="364" w:type="pct"/>
            <w:shd w:val="clear" w:color="auto" w:fill="auto"/>
            <w:vAlign w:val="center"/>
          </w:tcPr>
          <w:p w14:paraId="2F77E343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2210" w:type="pct"/>
            <w:shd w:val="clear" w:color="auto" w:fill="auto"/>
          </w:tcPr>
          <w:p w14:paraId="25564048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Objekto kontaktinis asmuo, jo telefonas, elektroninis paštas</w:t>
            </w:r>
          </w:p>
        </w:tc>
        <w:tc>
          <w:tcPr>
            <w:tcW w:w="2426" w:type="pct"/>
          </w:tcPr>
          <w:p w14:paraId="78ECD3CF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6EBC78B1" w14:textId="77777777">
        <w:trPr>
          <w:cantSplit/>
        </w:trPr>
        <w:tc>
          <w:tcPr>
            <w:tcW w:w="364" w:type="pct"/>
            <w:vAlign w:val="center"/>
          </w:tcPr>
          <w:p w14:paraId="36FE7ADB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2210" w:type="pct"/>
          </w:tcPr>
          <w:p w14:paraId="5BBBFB86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Pastatų skaičius, jų pastatymo metai</w:t>
            </w:r>
          </w:p>
        </w:tc>
        <w:tc>
          <w:tcPr>
            <w:tcW w:w="2426" w:type="pct"/>
          </w:tcPr>
          <w:p w14:paraId="55AD26F5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364F4D63" w14:textId="77777777">
        <w:trPr>
          <w:cantSplit/>
        </w:trPr>
        <w:tc>
          <w:tcPr>
            <w:tcW w:w="364" w:type="pct"/>
            <w:vAlign w:val="center"/>
          </w:tcPr>
          <w:p w14:paraId="4F6F0986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2210" w:type="pct"/>
          </w:tcPr>
          <w:p w14:paraId="71CD30D2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Pastatų aukštingumas</w:t>
            </w:r>
          </w:p>
        </w:tc>
        <w:tc>
          <w:tcPr>
            <w:tcW w:w="2426" w:type="pct"/>
          </w:tcPr>
          <w:p w14:paraId="67D6CBA4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0128C96A" w14:textId="77777777">
        <w:trPr>
          <w:cantSplit/>
        </w:trPr>
        <w:tc>
          <w:tcPr>
            <w:tcW w:w="364" w:type="pct"/>
            <w:vAlign w:val="center"/>
          </w:tcPr>
          <w:p w14:paraId="1B589DA4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2210" w:type="pct"/>
          </w:tcPr>
          <w:p w14:paraId="31A46BC7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Bendrasis pastatų plotas</w:t>
            </w:r>
          </w:p>
        </w:tc>
        <w:tc>
          <w:tcPr>
            <w:tcW w:w="2426" w:type="pct"/>
          </w:tcPr>
          <w:p w14:paraId="0BC78AE9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  <w:tr w:rsidR="00FE651F" w14:paraId="2AE72EE9" w14:textId="77777777">
        <w:trPr>
          <w:cantSplit/>
        </w:trPr>
        <w:tc>
          <w:tcPr>
            <w:tcW w:w="364" w:type="pct"/>
            <w:vAlign w:val="center"/>
          </w:tcPr>
          <w:p w14:paraId="14C3A6E6" w14:textId="77777777" w:rsidR="00FE651F" w:rsidRDefault="00FE65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2210" w:type="pct"/>
          </w:tcPr>
          <w:p w14:paraId="30E692A9" w14:textId="77777777" w:rsidR="00FE651F" w:rsidRDefault="00FE651F">
            <w:pPr>
              <w:rPr>
                <w:sz w:val="22"/>
              </w:rPr>
            </w:pPr>
            <w:r>
              <w:rPr>
                <w:sz w:val="22"/>
              </w:rPr>
              <w:t>Pagrindinė patalpų paskirtis</w:t>
            </w:r>
          </w:p>
        </w:tc>
        <w:tc>
          <w:tcPr>
            <w:tcW w:w="2426" w:type="pct"/>
          </w:tcPr>
          <w:p w14:paraId="189518DA" w14:textId="77777777" w:rsidR="00FE651F" w:rsidRDefault="00FE651F">
            <w:pPr>
              <w:ind w:right="-108"/>
              <w:rPr>
                <w:sz w:val="22"/>
              </w:rPr>
            </w:pPr>
          </w:p>
        </w:tc>
      </w:tr>
    </w:tbl>
    <w:p w14:paraId="01FF7C53" w14:textId="77777777" w:rsidR="00FE651F" w:rsidRDefault="00FE651F" w:rsidP="00FE651F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40"/>
        <w:gridCol w:w="4672"/>
      </w:tblGrid>
      <w:tr w:rsidR="00FE651F" w14:paraId="4CDD43F4" w14:textId="77777777">
        <w:tc>
          <w:tcPr>
            <w:tcW w:w="372" w:type="pct"/>
          </w:tcPr>
          <w:p w14:paraId="4151258D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2"/>
          </w:tcPr>
          <w:p w14:paraId="611A668E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Objekto energijos šaltiniai ir energijos apskaita</w:t>
            </w:r>
          </w:p>
        </w:tc>
      </w:tr>
      <w:tr w:rsidR="00FE651F" w14:paraId="5B7E8547" w14:textId="77777777">
        <w:tc>
          <w:tcPr>
            <w:tcW w:w="372" w:type="pct"/>
          </w:tcPr>
          <w:p w14:paraId="5F84D6D5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2.1.</w:t>
            </w:r>
          </w:p>
        </w:tc>
        <w:tc>
          <w:tcPr>
            <w:tcW w:w="2202" w:type="pct"/>
          </w:tcPr>
          <w:p w14:paraId="06329880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Šilumos šaltiniai</w:t>
            </w:r>
          </w:p>
          <w:p w14:paraId="5E112849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 xml:space="preserve">vienas ar daugiau, jų šilumos poreikio dalinimasis, energijos (kuro) apskaita, kuro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šilumingumas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>, kaina, pristatymas ir sandėliavimas, ... mokėjimo už šilumą būdas, kaina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426" w:type="pct"/>
          </w:tcPr>
          <w:p w14:paraId="534364CA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E651F" w14:paraId="60105918" w14:textId="77777777">
        <w:tc>
          <w:tcPr>
            <w:tcW w:w="372" w:type="pct"/>
          </w:tcPr>
          <w:p w14:paraId="1FCBE437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2.2.</w:t>
            </w:r>
          </w:p>
        </w:tc>
        <w:tc>
          <w:tcPr>
            <w:tcW w:w="2202" w:type="pct"/>
          </w:tcPr>
          <w:p w14:paraId="6BFEC946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Elektros šaltiniai </w:t>
            </w:r>
          </w:p>
          <w:p w14:paraId="287C8495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vienas ar daugiau, apskaitos prietaisų skaičius, kokias grupes jie apskaito, tarifai, elektros tiekimo saugumo kategorija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426" w:type="pct"/>
          </w:tcPr>
          <w:p w14:paraId="4BF70F3C" w14:textId="77777777" w:rsidR="00FE651F" w:rsidRDefault="00FE651F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23AE7F2F" w14:textId="77777777" w:rsidR="00FE651F" w:rsidRDefault="00FE651F"/>
    <w:p w14:paraId="27DA56D9" w14:textId="77777777" w:rsidR="00E1570C" w:rsidRDefault="00E1570C">
      <w:r>
        <w:t xml:space="preserve">*Paaiškinimai: </w:t>
      </w:r>
    </w:p>
    <w:p w14:paraId="44B9F302" w14:textId="6655C3B4" w:rsidR="00E1570C" w:rsidRDefault="00E1570C">
      <w:r>
        <w:t xml:space="preserve">Pateikiami pastato brėžiniai: </w:t>
      </w:r>
    </w:p>
    <w:p w14:paraId="5D0C4D0E" w14:textId="77777777" w:rsidR="00E1570C" w:rsidRDefault="00E1570C" w:rsidP="00E1570C">
      <w:pPr>
        <w:pStyle w:val="ListParagraph"/>
        <w:numPr>
          <w:ilvl w:val="0"/>
          <w:numId w:val="1"/>
        </w:numPr>
        <w:jc w:val="both"/>
      </w:pPr>
      <w:r>
        <w:t>Pastato aukštų planai, fasadai su nurodytais matmenimis (.</w:t>
      </w:r>
      <w:proofErr w:type="spellStart"/>
      <w:r>
        <w:t>dwg</w:t>
      </w:r>
      <w:proofErr w:type="spellEnd"/>
      <w:r>
        <w:t xml:space="preserve"> formatu, .</w:t>
      </w:r>
      <w:proofErr w:type="spellStart"/>
      <w:r>
        <w:t>pdf</w:t>
      </w:r>
      <w:proofErr w:type="spellEnd"/>
      <w:r>
        <w:t xml:space="preserve"> formatu arba skenuoti dokumentai) bei aprašomoji dalis. </w:t>
      </w:r>
    </w:p>
    <w:p w14:paraId="40DA5470" w14:textId="77777777" w:rsidR="00E1570C" w:rsidRDefault="00E1570C" w:rsidP="00E1570C">
      <w:pPr>
        <w:pStyle w:val="ListParagraph"/>
        <w:numPr>
          <w:ilvl w:val="0"/>
          <w:numId w:val="1"/>
        </w:numPr>
        <w:jc w:val="both"/>
      </w:pPr>
      <w:r>
        <w:t>Inžinerinių sistemų projektai – pastato brėžiniai ir dokumentai, kuriuose pateikiama informacija apie pastato šildymo, vėdinimo, oro kondicionavimo, vandentiekio ir nuotekų sistemas, pastato aukštų planai su nubraižytomis sistemomis bei aprašomosios dalys (.</w:t>
      </w:r>
      <w:proofErr w:type="spellStart"/>
      <w:r>
        <w:t>dwg</w:t>
      </w:r>
      <w:proofErr w:type="spellEnd"/>
      <w:r>
        <w:t xml:space="preserve"> formatu, .</w:t>
      </w:r>
      <w:proofErr w:type="spellStart"/>
      <w:r>
        <w:t>pdf</w:t>
      </w:r>
      <w:proofErr w:type="spellEnd"/>
      <w:r>
        <w:t xml:space="preserve"> formatu arba skenuoti dokumentai). </w:t>
      </w:r>
    </w:p>
    <w:p w14:paraId="74A9AB1A" w14:textId="77777777" w:rsidR="00FA52E1" w:rsidRDefault="00FA52E1" w:rsidP="00FA52E1">
      <w:r>
        <w:t>PAGRINDINIAI DALINIO DUOMENYS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610"/>
        <w:gridCol w:w="4317"/>
      </w:tblGrid>
      <w:tr w:rsidR="00FA52E1" w14:paraId="5C76545D" w14:textId="77777777">
        <w:trPr>
          <w:cantSplit/>
        </w:trPr>
        <w:tc>
          <w:tcPr>
            <w:tcW w:w="364" w:type="pct"/>
            <w:vAlign w:val="center"/>
          </w:tcPr>
          <w:p w14:paraId="609E0A01" w14:textId="77777777" w:rsidR="00FA52E1" w:rsidRDefault="00FA52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36" w:type="pct"/>
            <w:gridSpan w:val="2"/>
          </w:tcPr>
          <w:p w14:paraId="29F2A37A" w14:textId="77777777" w:rsidR="00FA52E1" w:rsidRDefault="00FA52E1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Duomenys apie dalinio pastatą arba jo dalį (toliau – pastatas)</w:t>
            </w:r>
          </w:p>
        </w:tc>
      </w:tr>
      <w:tr w:rsidR="00FA52E1" w14:paraId="243CC08F" w14:textId="77777777">
        <w:trPr>
          <w:cantSplit/>
        </w:trPr>
        <w:tc>
          <w:tcPr>
            <w:tcW w:w="364" w:type="pct"/>
          </w:tcPr>
          <w:p w14:paraId="428F53D8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394" w:type="pct"/>
          </w:tcPr>
          <w:p w14:paraId="0F905A11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Pastatymo metai</w:t>
            </w:r>
          </w:p>
        </w:tc>
        <w:tc>
          <w:tcPr>
            <w:tcW w:w="2242" w:type="pct"/>
          </w:tcPr>
          <w:p w14:paraId="2FDBF46D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4EBAFC26" w14:textId="77777777">
        <w:trPr>
          <w:cantSplit/>
        </w:trPr>
        <w:tc>
          <w:tcPr>
            <w:tcW w:w="364" w:type="pct"/>
            <w:shd w:val="clear" w:color="auto" w:fill="auto"/>
          </w:tcPr>
          <w:p w14:paraId="49B3E1F3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394" w:type="pct"/>
            <w:shd w:val="clear" w:color="auto" w:fill="auto"/>
          </w:tcPr>
          <w:p w14:paraId="14F0035E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Aukštų skaičius</w:t>
            </w:r>
          </w:p>
        </w:tc>
        <w:tc>
          <w:tcPr>
            <w:tcW w:w="2242" w:type="pct"/>
          </w:tcPr>
          <w:p w14:paraId="56BDE9B0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2132E8AF" w14:textId="77777777">
        <w:trPr>
          <w:cantSplit/>
        </w:trPr>
        <w:tc>
          <w:tcPr>
            <w:tcW w:w="364" w:type="pct"/>
            <w:shd w:val="clear" w:color="auto" w:fill="auto"/>
          </w:tcPr>
          <w:p w14:paraId="76681744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394" w:type="pct"/>
            <w:shd w:val="clear" w:color="auto" w:fill="auto"/>
          </w:tcPr>
          <w:p w14:paraId="12518743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Išoriniai matmenys (ilgis x plotis x aukštis virš žemės)</w:t>
            </w:r>
          </w:p>
        </w:tc>
        <w:tc>
          <w:tcPr>
            <w:tcW w:w="2242" w:type="pct"/>
          </w:tcPr>
          <w:p w14:paraId="5CBEDD0B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405DEB4F" w14:textId="77777777">
        <w:trPr>
          <w:cantSplit/>
        </w:trPr>
        <w:tc>
          <w:tcPr>
            <w:tcW w:w="364" w:type="pct"/>
          </w:tcPr>
          <w:p w14:paraId="39153474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394" w:type="pct"/>
          </w:tcPr>
          <w:p w14:paraId="7D8A066D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Pastato aukšto aukštis (jei yra skirtingų – nurodyti)</w:t>
            </w:r>
          </w:p>
        </w:tc>
        <w:tc>
          <w:tcPr>
            <w:tcW w:w="2242" w:type="pct"/>
          </w:tcPr>
          <w:p w14:paraId="33257DF5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5DB2DA53" w14:textId="77777777">
        <w:trPr>
          <w:cantSplit/>
        </w:trPr>
        <w:tc>
          <w:tcPr>
            <w:tcW w:w="364" w:type="pct"/>
          </w:tcPr>
          <w:p w14:paraId="6E18FE3A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394" w:type="pct"/>
          </w:tcPr>
          <w:p w14:paraId="4FDDF0AE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Pastato patalpų aukštis nuo grindų iki lubų</w:t>
            </w:r>
          </w:p>
        </w:tc>
        <w:tc>
          <w:tcPr>
            <w:tcW w:w="2242" w:type="pct"/>
          </w:tcPr>
          <w:p w14:paraId="1067158F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0A0B4379" w14:textId="77777777">
        <w:trPr>
          <w:cantSplit/>
        </w:trPr>
        <w:tc>
          <w:tcPr>
            <w:tcW w:w="364" w:type="pct"/>
          </w:tcPr>
          <w:p w14:paraId="316E9804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394" w:type="pct"/>
          </w:tcPr>
          <w:p w14:paraId="7ACAA093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Vidutinis rūsio ir cokolio aukštis, ar su langais</w:t>
            </w:r>
          </w:p>
        </w:tc>
        <w:tc>
          <w:tcPr>
            <w:tcW w:w="2242" w:type="pct"/>
          </w:tcPr>
          <w:p w14:paraId="4A7F2069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5CCE13B8" w14:textId="77777777">
        <w:trPr>
          <w:cantSplit/>
        </w:trPr>
        <w:tc>
          <w:tcPr>
            <w:tcW w:w="364" w:type="pct"/>
          </w:tcPr>
          <w:p w14:paraId="6D283EF0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394" w:type="pct"/>
          </w:tcPr>
          <w:p w14:paraId="3C03700E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Vyraujanti patalpų paskirtis</w:t>
            </w:r>
          </w:p>
        </w:tc>
        <w:tc>
          <w:tcPr>
            <w:tcW w:w="2242" w:type="pct"/>
          </w:tcPr>
          <w:p w14:paraId="6AEE8E18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66F82E6C" w14:textId="77777777">
        <w:trPr>
          <w:cantSplit/>
        </w:trPr>
        <w:tc>
          <w:tcPr>
            <w:tcW w:w="364" w:type="pct"/>
          </w:tcPr>
          <w:p w14:paraId="68D77459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394" w:type="pct"/>
          </w:tcPr>
          <w:p w14:paraId="2C9779DD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Nuolatinių darbo vietų ir lankytojų skaičius</w:t>
            </w:r>
          </w:p>
        </w:tc>
        <w:tc>
          <w:tcPr>
            <w:tcW w:w="2242" w:type="pct"/>
          </w:tcPr>
          <w:p w14:paraId="4A2ACC9B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1E0F5868" w14:textId="77777777">
        <w:trPr>
          <w:cantSplit/>
        </w:trPr>
        <w:tc>
          <w:tcPr>
            <w:tcW w:w="364" w:type="pct"/>
          </w:tcPr>
          <w:p w14:paraId="5A19D673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2394" w:type="pct"/>
          </w:tcPr>
          <w:p w14:paraId="2C44E53A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Paminėtinos architektūrinės savybės </w:t>
            </w:r>
          </w:p>
          <w:p w14:paraId="6A1AA7AD" w14:textId="77777777" w:rsidR="00FA52E1" w:rsidRDefault="00FA52E1">
            <w:pPr>
              <w:rPr>
                <w:sz w:val="22"/>
                <w:szCs w:val="22"/>
              </w:rPr>
            </w:pPr>
          </w:p>
          <w:p w14:paraId="1B9F8E3D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pvz.,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architektūrinis paveldas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kompaktiškas, raižytos formos, didelis langų plotas, išorinės </w:t>
            </w:r>
            <w:proofErr w:type="spellStart"/>
            <w:r>
              <w:rPr>
                <w:i/>
                <w:sz w:val="22"/>
                <w:szCs w:val="22"/>
              </w:rPr>
              <w:t>saulėsaugos</w:t>
            </w:r>
            <w:proofErr w:type="spellEnd"/>
            <w:r>
              <w:rPr>
                <w:i/>
                <w:sz w:val="22"/>
                <w:szCs w:val="22"/>
              </w:rPr>
              <w:t xml:space="preserve"> priemonės, vien stiklo fasadai, plokščiu ar šlaitiniu stogu, ir </w:t>
            </w:r>
            <w:proofErr w:type="spellStart"/>
            <w:r>
              <w:rPr>
                <w:i/>
                <w:sz w:val="22"/>
                <w:szCs w:val="22"/>
              </w:rPr>
              <w:t>pan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42" w:type="pct"/>
          </w:tcPr>
          <w:p w14:paraId="53206D56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6DAFC515" w14:textId="77777777">
        <w:trPr>
          <w:cantSplit/>
        </w:trPr>
        <w:tc>
          <w:tcPr>
            <w:tcW w:w="364" w:type="pct"/>
          </w:tcPr>
          <w:p w14:paraId="4DBF514B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394" w:type="pct"/>
          </w:tcPr>
          <w:p w14:paraId="3F9E76F9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Paminėtinos patalpų naudojimo ypatybės </w:t>
            </w:r>
          </w:p>
          <w:p w14:paraId="3D47084C" w14:textId="77777777" w:rsidR="00FA52E1" w:rsidRDefault="00FA52E1">
            <w:pPr>
              <w:rPr>
                <w:sz w:val="22"/>
                <w:szCs w:val="22"/>
              </w:rPr>
            </w:pPr>
          </w:p>
          <w:p w14:paraId="69161D47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pvz., netipinis darbo laikas, periodinis naudojimas, saviti technologiniai procesai, ir pan.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42" w:type="pct"/>
          </w:tcPr>
          <w:p w14:paraId="106E2C8D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4D9F5927" w14:textId="77777777">
        <w:trPr>
          <w:cantSplit/>
        </w:trPr>
        <w:tc>
          <w:tcPr>
            <w:tcW w:w="364" w:type="pct"/>
          </w:tcPr>
          <w:p w14:paraId="0B28A8C0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394" w:type="pct"/>
          </w:tcPr>
          <w:p w14:paraId="31DE7371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Pastato aplinka </w:t>
            </w:r>
          </w:p>
          <w:p w14:paraId="3DFF778A" w14:textId="77777777" w:rsidR="00FA52E1" w:rsidRDefault="00FA52E1">
            <w:pPr>
              <w:rPr>
                <w:sz w:val="22"/>
                <w:szCs w:val="22"/>
              </w:rPr>
            </w:pPr>
          </w:p>
          <w:p w14:paraId="0C99B989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įvairiais požiūriais: užuovėjos, šešėliavimo, triukšmo, oro kokybės, galimybės išdėstyti įrangą ant stogo ar šalia pastato, ...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42" w:type="pct"/>
          </w:tcPr>
          <w:p w14:paraId="006F6C6E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  <w:tr w:rsidR="00FA52E1" w14:paraId="6082D81D" w14:textId="77777777">
        <w:trPr>
          <w:cantSplit/>
        </w:trPr>
        <w:tc>
          <w:tcPr>
            <w:tcW w:w="364" w:type="pct"/>
          </w:tcPr>
          <w:p w14:paraId="752C18EA" w14:textId="77777777" w:rsidR="00FA52E1" w:rsidRDefault="00FA5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2394" w:type="pct"/>
          </w:tcPr>
          <w:p w14:paraId="37C4B5F4" w14:textId="77777777" w:rsidR="00FA52E1" w:rsidRDefault="00FA5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Užsakovo nusiskundimai bei akivaizdžios problemos susiję su pastato energijos vartojimu ir patalpų mikroklimatu</w:t>
            </w:r>
          </w:p>
        </w:tc>
        <w:tc>
          <w:tcPr>
            <w:tcW w:w="2242" w:type="pct"/>
          </w:tcPr>
          <w:p w14:paraId="10852FAE" w14:textId="77777777" w:rsidR="00FA52E1" w:rsidRDefault="00FA52E1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6A9A954" w14:textId="77777777" w:rsidR="00FA52E1" w:rsidRDefault="00FA52E1" w:rsidP="00FA52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523"/>
        <w:gridCol w:w="4388"/>
      </w:tblGrid>
      <w:tr w:rsidR="00FA52E1" w14:paraId="138C2CA4" w14:textId="77777777">
        <w:tc>
          <w:tcPr>
            <w:tcW w:w="372" w:type="pct"/>
            <w:vAlign w:val="center"/>
          </w:tcPr>
          <w:p w14:paraId="05D1B85C" w14:textId="77777777" w:rsidR="00FA52E1" w:rsidRDefault="00FA52E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4628" w:type="pct"/>
            <w:gridSpan w:val="2"/>
          </w:tcPr>
          <w:p w14:paraId="599A67C7" w14:textId="77777777" w:rsidR="00FA52E1" w:rsidRDefault="00FA52E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Plotai (m²) ir tūriai (m³)</w:t>
            </w:r>
          </w:p>
        </w:tc>
      </w:tr>
      <w:tr w:rsidR="00FA52E1" w14:paraId="0693525C" w14:textId="77777777">
        <w:tc>
          <w:tcPr>
            <w:tcW w:w="372" w:type="pct"/>
            <w:vAlign w:val="center"/>
          </w:tcPr>
          <w:p w14:paraId="03993FE9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349" w:type="pct"/>
          </w:tcPr>
          <w:p w14:paraId="29358731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 xml:space="preserve">Bendrasis plotas (iš viso) </w:t>
            </w:r>
          </w:p>
        </w:tc>
        <w:tc>
          <w:tcPr>
            <w:tcW w:w="2279" w:type="pct"/>
          </w:tcPr>
          <w:p w14:paraId="05902976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65A1A0C9" w14:textId="77777777">
        <w:tc>
          <w:tcPr>
            <w:tcW w:w="372" w:type="pct"/>
          </w:tcPr>
          <w:p w14:paraId="5CCB59A1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2349" w:type="pct"/>
          </w:tcPr>
          <w:p w14:paraId="003A56E6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 xml:space="preserve">Pagrindinių patalpų plotas </w:t>
            </w:r>
          </w:p>
        </w:tc>
        <w:tc>
          <w:tcPr>
            <w:tcW w:w="2279" w:type="pct"/>
          </w:tcPr>
          <w:p w14:paraId="59246E20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4108FDFB" w14:textId="77777777">
        <w:tc>
          <w:tcPr>
            <w:tcW w:w="372" w:type="pct"/>
          </w:tcPr>
          <w:p w14:paraId="04A21B1C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2349" w:type="pct"/>
          </w:tcPr>
          <w:p w14:paraId="59F6BDB6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Pagalbinių patalpų plotas</w:t>
            </w:r>
          </w:p>
        </w:tc>
        <w:tc>
          <w:tcPr>
            <w:tcW w:w="2279" w:type="pct"/>
          </w:tcPr>
          <w:p w14:paraId="69D8E653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36BE5F39" w14:textId="77777777">
        <w:tc>
          <w:tcPr>
            <w:tcW w:w="372" w:type="pct"/>
          </w:tcPr>
          <w:p w14:paraId="11045B61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2349" w:type="pct"/>
          </w:tcPr>
          <w:p w14:paraId="6F325FDE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Šildomų patalpų plotas</w:t>
            </w:r>
          </w:p>
        </w:tc>
        <w:tc>
          <w:tcPr>
            <w:tcW w:w="2279" w:type="pct"/>
          </w:tcPr>
          <w:p w14:paraId="7A94BA5C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6E0F2E3C" w14:textId="77777777">
        <w:tc>
          <w:tcPr>
            <w:tcW w:w="372" w:type="pct"/>
          </w:tcPr>
          <w:p w14:paraId="4057D4AA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2349" w:type="pct"/>
          </w:tcPr>
          <w:p w14:paraId="04865820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Nešildomų patalpų plotas</w:t>
            </w:r>
          </w:p>
        </w:tc>
        <w:tc>
          <w:tcPr>
            <w:tcW w:w="2279" w:type="pct"/>
          </w:tcPr>
          <w:p w14:paraId="30EF795A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7E729128" w14:textId="77777777">
        <w:tc>
          <w:tcPr>
            <w:tcW w:w="372" w:type="pct"/>
          </w:tcPr>
          <w:p w14:paraId="576DAB02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2349" w:type="pct"/>
          </w:tcPr>
          <w:p w14:paraId="25464545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Vėsinamų patalpų plotas</w:t>
            </w:r>
          </w:p>
        </w:tc>
        <w:tc>
          <w:tcPr>
            <w:tcW w:w="2279" w:type="pct"/>
          </w:tcPr>
          <w:p w14:paraId="13DC1DDE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2C37A2CA" w14:textId="77777777">
        <w:tc>
          <w:tcPr>
            <w:tcW w:w="372" w:type="pct"/>
          </w:tcPr>
          <w:p w14:paraId="0C379EA0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2349" w:type="pct"/>
          </w:tcPr>
          <w:p w14:paraId="4CCD139A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Užstatymo plotas</w:t>
            </w:r>
          </w:p>
        </w:tc>
        <w:tc>
          <w:tcPr>
            <w:tcW w:w="2279" w:type="pct"/>
          </w:tcPr>
          <w:p w14:paraId="7275CC9D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3615627D" w14:textId="77777777">
        <w:tc>
          <w:tcPr>
            <w:tcW w:w="372" w:type="pct"/>
          </w:tcPr>
          <w:p w14:paraId="6D6CEDAE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2.8.</w:t>
            </w:r>
          </w:p>
        </w:tc>
        <w:tc>
          <w:tcPr>
            <w:tcW w:w="2349" w:type="pct"/>
          </w:tcPr>
          <w:p w14:paraId="06E7254D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Stogo plotas</w:t>
            </w:r>
          </w:p>
        </w:tc>
        <w:tc>
          <w:tcPr>
            <w:tcW w:w="2279" w:type="pct"/>
          </w:tcPr>
          <w:p w14:paraId="6C8E9C77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11799013" w14:textId="77777777">
        <w:tc>
          <w:tcPr>
            <w:tcW w:w="372" w:type="pct"/>
          </w:tcPr>
          <w:p w14:paraId="6D70268E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2.9.</w:t>
            </w:r>
          </w:p>
        </w:tc>
        <w:tc>
          <w:tcPr>
            <w:tcW w:w="2349" w:type="pct"/>
          </w:tcPr>
          <w:p w14:paraId="02840AED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Rūsio plotas</w:t>
            </w:r>
          </w:p>
        </w:tc>
        <w:tc>
          <w:tcPr>
            <w:tcW w:w="2279" w:type="pct"/>
          </w:tcPr>
          <w:p w14:paraId="1EA3EAF6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54F20682" w14:textId="77777777">
        <w:tc>
          <w:tcPr>
            <w:tcW w:w="372" w:type="pct"/>
            <w:vAlign w:val="center"/>
          </w:tcPr>
          <w:p w14:paraId="7F98F5ED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2.11.</w:t>
            </w:r>
          </w:p>
        </w:tc>
        <w:tc>
          <w:tcPr>
            <w:tcW w:w="2349" w:type="pct"/>
          </w:tcPr>
          <w:p w14:paraId="2A1F7AD0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Pastogės plotas</w:t>
            </w:r>
          </w:p>
        </w:tc>
        <w:tc>
          <w:tcPr>
            <w:tcW w:w="2279" w:type="pct"/>
          </w:tcPr>
          <w:p w14:paraId="14B73ED4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7B43CA0B" w14:textId="77777777">
        <w:tc>
          <w:tcPr>
            <w:tcW w:w="372" w:type="pct"/>
            <w:vAlign w:val="center"/>
          </w:tcPr>
          <w:p w14:paraId="63F08B9B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2.12.</w:t>
            </w:r>
          </w:p>
        </w:tc>
        <w:tc>
          <w:tcPr>
            <w:tcW w:w="2349" w:type="pct"/>
          </w:tcPr>
          <w:p w14:paraId="1E28A61B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Pastato išorinis tūris (virš žemės paviršiaus)</w:t>
            </w:r>
          </w:p>
        </w:tc>
        <w:tc>
          <w:tcPr>
            <w:tcW w:w="2279" w:type="pct"/>
          </w:tcPr>
          <w:p w14:paraId="187929C3" w14:textId="77777777" w:rsidR="00FA52E1" w:rsidRDefault="00FA52E1">
            <w:pPr>
              <w:rPr>
                <w:sz w:val="22"/>
              </w:rPr>
            </w:pPr>
          </w:p>
        </w:tc>
      </w:tr>
    </w:tbl>
    <w:p w14:paraId="72AB0EA4" w14:textId="77777777" w:rsidR="00FA52E1" w:rsidRDefault="00FA52E1" w:rsidP="00FA52E1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563"/>
        <w:gridCol w:w="805"/>
        <w:gridCol w:w="850"/>
        <w:gridCol w:w="852"/>
        <w:gridCol w:w="850"/>
        <w:gridCol w:w="994"/>
        <w:gridCol w:w="1037"/>
      </w:tblGrid>
      <w:tr w:rsidR="00FA52E1" w14:paraId="61E177CB" w14:textId="77777777">
        <w:tc>
          <w:tcPr>
            <w:tcW w:w="355" w:type="pct"/>
            <w:vAlign w:val="center"/>
          </w:tcPr>
          <w:p w14:paraId="275D9327" w14:textId="77777777" w:rsidR="00FA52E1" w:rsidRDefault="00FA52E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4645" w:type="pct"/>
            <w:gridSpan w:val="7"/>
            <w:vAlign w:val="center"/>
          </w:tcPr>
          <w:p w14:paraId="4BE31676" w14:textId="77777777" w:rsidR="00FA52E1" w:rsidRDefault="00FA52E1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Bendrieji išoriniai fasadų plotai (pagal </w:t>
            </w:r>
            <w:proofErr w:type="spellStart"/>
            <w:r>
              <w:rPr>
                <w:sz w:val="22"/>
                <w:szCs w:val="22"/>
              </w:rPr>
              <w:t>gabaritinius</w:t>
            </w:r>
            <w:proofErr w:type="spellEnd"/>
            <w:r>
              <w:rPr>
                <w:sz w:val="22"/>
                <w:szCs w:val="22"/>
              </w:rPr>
              <w:t xml:space="preserve"> pastato matmenis – kontroliniai plotai), m²</w:t>
            </w:r>
          </w:p>
        </w:tc>
      </w:tr>
      <w:tr w:rsidR="00FA52E1" w14:paraId="160457E8" w14:textId="77777777">
        <w:tc>
          <w:tcPr>
            <w:tcW w:w="355" w:type="pct"/>
            <w:vAlign w:val="center"/>
          </w:tcPr>
          <w:p w14:paraId="21BD992A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3.1.</w:t>
            </w:r>
          </w:p>
        </w:tc>
        <w:tc>
          <w:tcPr>
            <w:tcW w:w="1849" w:type="pct"/>
          </w:tcPr>
          <w:p w14:paraId="01A9A1C0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Orientacija (Š, ŠR, R,PR, P, PV, V, ŠV)</w:t>
            </w:r>
          </w:p>
        </w:tc>
        <w:tc>
          <w:tcPr>
            <w:tcW w:w="418" w:type="pct"/>
          </w:tcPr>
          <w:p w14:paraId="63AEECC8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1" w:type="pct"/>
          </w:tcPr>
          <w:p w14:paraId="48BEB10A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2" w:type="pct"/>
          </w:tcPr>
          <w:p w14:paraId="569A9FA7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1" w:type="pct"/>
          </w:tcPr>
          <w:p w14:paraId="04EBAD67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16" w:type="pct"/>
          </w:tcPr>
          <w:p w14:paraId="6067F2D3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9" w:type="pct"/>
          </w:tcPr>
          <w:p w14:paraId="0EDB8184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Ʃ</w:t>
            </w:r>
          </w:p>
        </w:tc>
      </w:tr>
      <w:tr w:rsidR="00FA52E1" w14:paraId="5BA2E7DB" w14:textId="77777777">
        <w:tc>
          <w:tcPr>
            <w:tcW w:w="355" w:type="pct"/>
            <w:vAlign w:val="center"/>
          </w:tcPr>
          <w:p w14:paraId="3FAD268A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3.2.</w:t>
            </w:r>
          </w:p>
        </w:tc>
        <w:tc>
          <w:tcPr>
            <w:tcW w:w="1849" w:type="pct"/>
          </w:tcPr>
          <w:p w14:paraId="70AC4C01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Bendrasis fasado plotas</w:t>
            </w:r>
          </w:p>
        </w:tc>
        <w:tc>
          <w:tcPr>
            <w:tcW w:w="418" w:type="pct"/>
          </w:tcPr>
          <w:p w14:paraId="1CECB455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1" w:type="pct"/>
          </w:tcPr>
          <w:p w14:paraId="3FCEDEFF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2" w:type="pct"/>
          </w:tcPr>
          <w:p w14:paraId="7E4DA65D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41" w:type="pct"/>
          </w:tcPr>
          <w:p w14:paraId="03F433CD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16" w:type="pct"/>
          </w:tcPr>
          <w:p w14:paraId="4A73F63F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9" w:type="pct"/>
          </w:tcPr>
          <w:p w14:paraId="5DBAA042" w14:textId="77777777" w:rsidR="00FA52E1" w:rsidRDefault="00FA52E1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13A59B45" w14:textId="77777777" w:rsidR="00FA52E1" w:rsidRDefault="00FA52E1" w:rsidP="00FA52E1">
      <w:pPr>
        <w:rPr>
          <w:sz w:val="20"/>
          <w:szCs w:val="22"/>
        </w:rPr>
      </w:pPr>
    </w:p>
    <w:p w14:paraId="53427052" w14:textId="77777777" w:rsidR="00FA52E1" w:rsidRDefault="00FA52E1" w:rsidP="00FA52E1">
      <w:pPr>
        <w:rPr>
          <w:bCs/>
          <w:sz w:val="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523"/>
        <w:gridCol w:w="4388"/>
      </w:tblGrid>
      <w:tr w:rsidR="00FA52E1" w14:paraId="089DD0F6" w14:textId="77777777">
        <w:trPr>
          <w:trHeight w:val="425"/>
        </w:trPr>
        <w:tc>
          <w:tcPr>
            <w:tcW w:w="372" w:type="pct"/>
            <w:vAlign w:val="center"/>
          </w:tcPr>
          <w:p w14:paraId="36DBD3DB" w14:textId="77777777" w:rsidR="00FA52E1" w:rsidRDefault="00FA52E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4628" w:type="pct"/>
            <w:gridSpan w:val="2"/>
            <w:vAlign w:val="center"/>
          </w:tcPr>
          <w:p w14:paraId="2A5B38C6" w14:textId="77777777" w:rsidR="00FA52E1" w:rsidRDefault="00FA52E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Pastato atitvaros (esminiai bruožai)</w:t>
            </w:r>
          </w:p>
        </w:tc>
      </w:tr>
      <w:tr w:rsidR="00FA52E1" w14:paraId="5320C36E" w14:textId="77777777">
        <w:tc>
          <w:tcPr>
            <w:tcW w:w="372" w:type="pct"/>
            <w:vAlign w:val="center"/>
          </w:tcPr>
          <w:p w14:paraId="2966165B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2349" w:type="pct"/>
          </w:tcPr>
          <w:p w14:paraId="4C74623F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Laikančiosios konstrukcijos (</w:t>
            </w:r>
            <w:r>
              <w:rPr>
                <w:i/>
                <w:sz w:val="22"/>
              </w:rPr>
              <w:t>pvz.: plytų mūras arba gelžbetonio paneliai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279" w:type="pct"/>
          </w:tcPr>
          <w:p w14:paraId="27E9E5C7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3AE0F5E4" w14:textId="77777777">
        <w:tc>
          <w:tcPr>
            <w:tcW w:w="372" w:type="pct"/>
          </w:tcPr>
          <w:p w14:paraId="2AF63F62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2349" w:type="pct"/>
          </w:tcPr>
          <w:p w14:paraId="43EA6612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Pertvaros (</w:t>
            </w:r>
            <w:r>
              <w:rPr>
                <w:i/>
                <w:sz w:val="22"/>
              </w:rPr>
              <w:t>pvz.: plytų mūras arba gelžbetonio paneliai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</w:tcPr>
          <w:p w14:paraId="125AA7B8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4AA4A227" w14:textId="77777777">
        <w:tc>
          <w:tcPr>
            <w:tcW w:w="372" w:type="pct"/>
          </w:tcPr>
          <w:p w14:paraId="63460092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2349" w:type="pct"/>
          </w:tcPr>
          <w:p w14:paraId="0F90CB97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Išorinės sienos (</w:t>
            </w:r>
            <w:r>
              <w:rPr>
                <w:i/>
                <w:sz w:val="22"/>
              </w:rPr>
              <w:t>pvz.: iš 30 cm gelžbetonio plokščių, neapšiltintos, tinkuotos iš vidaus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</w:tcPr>
          <w:p w14:paraId="40DF1E92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62C47AA9" w14:textId="77777777">
        <w:tc>
          <w:tcPr>
            <w:tcW w:w="372" w:type="pct"/>
          </w:tcPr>
          <w:p w14:paraId="28ED8737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4.4.</w:t>
            </w:r>
          </w:p>
        </w:tc>
        <w:tc>
          <w:tcPr>
            <w:tcW w:w="2349" w:type="pct"/>
          </w:tcPr>
          <w:p w14:paraId="3B6902AD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 xml:space="preserve">Rūsio </w:t>
            </w:r>
            <w:proofErr w:type="spellStart"/>
            <w:r>
              <w:rPr>
                <w:sz w:val="22"/>
              </w:rPr>
              <w:t>perdenginys</w:t>
            </w:r>
            <w:proofErr w:type="spellEnd"/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pvz.: 30 cm gelžbetonio plokštė, medinės grindys ant gulekšnių, apšiltintos 5 cm mineralinės vatos sluoksniu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</w:tcPr>
          <w:p w14:paraId="46987B71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12B60C7F" w14:textId="77777777">
        <w:tc>
          <w:tcPr>
            <w:tcW w:w="372" w:type="pct"/>
          </w:tcPr>
          <w:p w14:paraId="26A292B7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4.5.</w:t>
            </w:r>
          </w:p>
        </w:tc>
        <w:tc>
          <w:tcPr>
            <w:tcW w:w="2349" w:type="pct"/>
          </w:tcPr>
          <w:p w14:paraId="45E350D8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 xml:space="preserve">Aukšto </w:t>
            </w:r>
            <w:proofErr w:type="spellStart"/>
            <w:r>
              <w:rPr>
                <w:sz w:val="22"/>
              </w:rPr>
              <w:t>perdenginys</w:t>
            </w:r>
            <w:proofErr w:type="spellEnd"/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 xml:space="preserve">pvz.: 30 cm gelžbetonio plokštė, medinės grindys ant </w:t>
            </w:r>
            <w:proofErr w:type="spellStart"/>
            <w:r>
              <w:rPr>
                <w:i/>
                <w:sz w:val="22"/>
              </w:rPr>
              <w:t>gulėkšnių</w:t>
            </w:r>
            <w:proofErr w:type="spellEnd"/>
            <w:r>
              <w:rPr>
                <w:i/>
                <w:sz w:val="22"/>
              </w:rPr>
              <w:t>, neapšiltintos, tarpas 10 cm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</w:tcPr>
          <w:p w14:paraId="3CA14A8E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20798114" w14:textId="77777777">
        <w:tc>
          <w:tcPr>
            <w:tcW w:w="372" w:type="pct"/>
          </w:tcPr>
          <w:p w14:paraId="6D0A0E9E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4.6.</w:t>
            </w:r>
          </w:p>
        </w:tc>
        <w:tc>
          <w:tcPr>
            <w:tcW w:w="2349" w:type="pct"/>
          </w:tcPr>
          <w:p w14:paraId="35DFC33A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Stogas (</w:t>
            </w:r>
            <w:r>
              <w:rPr>
                <w:i/>
                <w:sz w:val="22"/>
              </w:rPr>
              <w:t>pvz.: plokščias, neapšiltintas, arba šlaitinis, su apšiltinta pastoge šlaite 20 cm mineralinės vatos sluoksniu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</w:tcPr>
          <w:p w14:paraId="64515D69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3E010753" w14:textId="77777777">
        <w:tc>
          <w:tcPr>
            <w:tcW w:w="372" w:type="pct"/>
          </w:tcPr>
          <w:p w14:paraId="7059A05F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4.7.</w:t>
            </w:r>
          </w:p>
        </w:tc>
        <w:tc>
          <w:tcPr>
            <w:tcW w:w="2349" w:type="pct"/>
          </w:tcPr>
          <w:p w14:paraId="396A60FC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Langai (</w:t>
            </w:r>
            <w:r>
              <w:rPr>
                <w:i/>
                <w:sz w:val="22"/>
              </w:rPr>
              <w:t>pvz.: mediniais atskirais rėmais su dvigubu įstiklinimu, su orlaidėm, 50% balkonų įstiklinta, dalis langų užsandarinta</w:t>
            </w:r>
            <w:r>
              <w:rPr>
                <w:sz w:val="22"/>
              </w:rPr>
              <w:t>)</w:t>
            </w:r>
          </w:p>
        </w:tc>
        <w:tc>
          <w:tcPr>
            <w:tcW w:w="2279" w:type="pct"/>
            <w:shd w:val="clear" w:color="auto" w:fill="auto"/>
          </w:tcPr>
          <w:p w14:paraId="411782C8" w14:textId="77777777" w:rsidR="00FA52E1" w:rsidRDefault="00FA52E1">
            <w:pPr>
              <w:rPr>
                <w:sz w:val="22"/>
              </w:rPr>
            </w:pPr>
          </w:p>
        </w:tc>
      </w:tr>
      <w:tr w:rsidR="00FA52E1" w14:paraId="193C8EEC" w14:textId="77777777">
        <w:tc>
          <w:tcPr>
            <w:tcW w:w="372" w:type="pct"/>
          </w:tcPr>
          <w:p w14:paraId="4882DEBB" w14:textId="77777777" w:rsidR="00FA52E1" w:rsidRDefault="00FA5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4.8.</w:t>
            </w:r>
          </w:p>
        </w:tc>
        <w:tc>
          <w:tcPr>
            <w:tcW w:w="2349" w:type="pct"/>
          </w:tcPr>
          <w:p w14:paraId="5FA79522" w14:textId="77777777" w:rsidR="00FA52E1" w:rsidRDefault="00FA52E1">
            <w:pPr>
              <w:rPr>
                <w:sz w:val="22"/>
              </w:rPr>
            </w:pPr>
            <w:r>
              <w:rPr>
                <w:sz w:val="22"/>
              </w:rPr>
              <w:t>Kita</w:t>
            </w:r>
          </w:p>
        </w:tc>
        <w:tc>
          <w:tcPr>
            <w:tcW w:w="2279" w:type="pct"/>
          </w:tcPr>
          <w:p w14:paraId="3B111417" w14:textId="77777777" w:rsidR="00FA52E1" w:rsidRDefault="00FA52E1">
            <w:pPr>
              <w:rPr>
                <w:sz w:val="22"/>
              </w:rPr>
            </w:pPr>
          </w:p>
        </w:tc>
      </w:tr>
    </w:tbl>
    <w:p w14:paraId="4343C209" w14:textId="77777777" w:rsidR="00FA52E1" w:rsidRDefault="00FA52E1" w:rsidP="00FA52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523"/>
        <w:gridCol w:w="4388"/>
      </w:tblGrid>
      <w:tr w:rsidR="00FA52E1" w14:paraId="775BD83E" w14:textId="77777777">
        <w:trPr>
          <w:cantSplit/>
          <w:trHeight w:val="291"/>
        </w:trPr>
        <w:tc>
          <w:tcPr>
            <w:tcW w:w="372" w:type="pct"/>
            <w:vAlign w:val="center"/>
          </w:tcPr>
          <w:p w14:paraId="1977A5FE" w14:textId="77777777" w:rsidR="00FA52E1" w:rsidRDefault="00FA52E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4628" w:type="pct"/>
            <w:gridSpan w:val="2"/>
            <w:vAlign w:val="center"/>
          </w:tcPr>
          <w:p w14:paraId="1E27C922" w14:textId="77777777" w:rsidR="00FA52E1" w:rsidRDefault="00FA52E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Pastato inžinerinės sistemos (esminiai bruožai) </w:t>
            </w:r>
          </w:p>
        </w:tc>
      </w:tr>
      <w:tr w:rsidR="00FA52E1" w14:paraId="11A82937" w14:textId="77777777">
        <w:tc>
          <w:tcPr>
            <w:tcW w:w="372" w:type="pct"/>
            <w:vAlign w:val="center"/>
          </w:tcPr>
          <w:p w14:paraId="1983B9E3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349" w:type="pct"/>
            <w:vAlign w:val="center"/>
          </w:tcPr>
          <w:p w14:paraId="6D7EFA93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Šildymo sistema(-</w:t>
            </w:r>
            <w:proofErr w:type="spellStart"/>
            <w:r>
              <w:rPr>
                <w:bCs/>
                <w:iCs/>
                <w:sz w:val="22"/>
                <w:szCs w:val="22"/>
              </w:rPr>
              <w:t>os</w:t>
            </w:r>
            <w:proofErr w:type="spellEnd"/>
            <w:r>
              <w:rPr>
                <w:bCs/>
                <w:iCs/>
                <w:sz w:val="22"/>
                <w:szCs w:val="22"/>
              </w:rPr>
              <w:t>):</w:t>
            </w:r>
          </w:p>
          <w:p w14:paraId="3B5FD3B0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automatikos ir valdymo klasė,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 xml:space="preserve">energijos šaltinis, sistemos tipas,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šilumnešis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>, valdymo įranga (valdiklis, vožtuvai), temperatūros žeminimas, apskaita, vamzdynai, jų izoliacija, šildymo prietaisai, jų uždengimo laipsnis, problemos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79" w:type="pct"/>
          </w:tcPr>
          <w:p w14:paraId="6648CB32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A52E1" w14:paraId="439D7F32" w14:textId="77777777">
        <w:tc>
          <w:tcPr>
            <w:tcW w:w="372" w:type="pct"/>
          </w:tcPr>
          <w:p w14:paraId="7B41D39B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349" w:type="pct"/>
            <w:vAlign w:val="center"/>
          </w:tcPr>
          <w:p w14:paraId="275FDD18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Vėdinimo sistema(-</w:t>
            </w:r>
            <w:proofErr w:type="spellStart"/>
            <w:r>
              <w:rPr>
                <w:bCs/>
                <w:iCs/>
                <w:sz w:val="22"/>
                <w:szCs w:val="22"/>
              </w:rPr>
              <w:t>os</w:t>
            </w:r>
            <w:proofErr w:type="spellEnd"/>
            <w:r>
              <w:rPr>
                <w:bCs/>
                <w:iCs/>
                <w:sz w:val="22"/>
                <w:szCs w:val="22"/>
              </w:rPr>
              <w:t>):</w:t>
            </w:r>
          </w:p>
          <w:p w14:paraId="23B197E5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automatikos ir valdymo klasė,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skaičius, tipas, būklė, problemos, savaitinis veikimo laikas, įrenginių vieta, ortakių izoliacija, triukšmas, valdymas, ...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79" w:type="pct"/>
          </w:tcPr>
          <w:p w14:paraId="6F1CEC2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A52E1" w14:paraId="4461011C" w14:textId="77777777">
        <w:tc>
          <w:tcPr>
            <w:tcW w:w="372" w:type="pct"/>
          </w:tcPr>
          <w:p w14:paraId="0C257CF4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349" w:type="pct"/>
            <w:vAlign w:val="center"/>
          </w:tcPr>
          <w:p w14:paraId="153763A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Karšto vandens sistema:</w:t>
            </w:r>
          </w:p>
          <w:p w14:paraId="08F79ED2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automatikos ir valdymo klasė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>
              <w:rPr>
                <w:bCs/>
                <w:i/>
                <w:iCs/>
                <w:sz w:val="22"/>
                <w:szCs w:val="22"/>
              </w:rPr>
              <w:t>KV ruošimo būdas, energijos šaltinis,  vartojimo apskaita, vamzdynai, cirkuliacinė linija, jų izoliacija, valdymo įranga, temperatūra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79" w:type="pct"/>
          </w:tcPr>
          <w:p w14:paraId="1E948FE5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A52E1" w14:paraId="4491D787" w14:textId="77777777">
        <w:tc>
          <w:tcPr>
            <w:tcW w:w="372" w:type="pct"/>
          </w:tcPr>
          <w:p w14:paraId="58745C7F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2349" w:type="pct"/>
            <w:vAlign w:val="center"/>
          </w:tcPr>
          <w:p w14:paraId="030D5F5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Vėsinimo (OK) sistema(-</w:t>
            </w:r>
            <w:proofErr w:type="spellStart"/>
            <w:r>
              <w:rPr>
                <w:bCs/>
                <w:iCs/>
                <w:sz w:val="22"/>
                <w:szCs w:val="22"/>
              </w:rPr>
              <w:t>os</w:t>
            </w:r>
            <w:proofErr w:type="spellEnd"/>
            <w:r>
              <w:rPr>
                <w:bCs/>
                <w:iCs/>
                <w:sz w:val="22"/>
                <w:szCs w:val="22"/>
              </w:rPr>
              <w:t>):</w:t>
            </w:r>
          </w:p>
          <w:p w14:paraId="3310237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automatikos ir valdymo klasė,</w:t>
            </w:r>
            <w:r>
              <w:rPr>
                <w:bCs/>
                <w:i/>
                <w:iCs/>
                <w:sz w:val="22"/>
                <w:szCs w:val="22"/>
              </w:rPr>
              <w:t xml:space="preserve"> vėsos generatorius, jo tipas, vieta, vėsos šaltinis, sistemos tipas,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šaltnešis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(vanduo, oras ar šaldymo agentas), jo temperatūros, vėsinimo prietaisai, drėgnio palaikymas, veikimo sezonas ir vidutinė savaitinė veikimo, trukmė, problemos, ...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79" w:type="pct"/>
          </w:tcPr>
          <w:p w14:paraId="0D2E4EC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A52E1" w14:paraId="5BF03C06" w14:textId="77777777">
        <w:tc>
          <w:tcPr>
            <w:tcW w:w="372" w:type="pct"/>
          </w:tcPr>
          <w:p w14:paraId="2A0633B4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2349" w:type="pct"/>
            <w:vAlign w:val="center"/>
          </w:tcPr>
          <w:p w14:paraId="4AFA5C2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Apšvietimo sistema(-</w:t>
            </w:r>
            <w:proofErr w:type="spellStart"/>
            <w:r>
              <w:rPr>
                <w:bCs/>
                <w:iCs/>
                <w:sz w:val="22"/>
                <w:szCs w:val="22"/>
              </w:rPr>
              <w:t>os</w:t>
            </w:r>
            <w:proofErr w:type="spellEnd"/>
            <w:r>
              <w:rPr>
                <w:bCs/>
                <w:iCs/>
                <w:sz w:val="22"/>
                <w:szCs w:val="22"/>
              </w:rPr>
              <w:t>):</w:t>
            </w:r>
          </w:p>
          <w:p w14:paraId="01AF17BF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automatikos ir valdymo klasė,</w:t>
            </w:r>
            <w:r>
              <w:rPr>
                <w:bCs/>
                <w:i/>
                <w:iCs/>
                <w:sz w:val="22"/>
                <w:szCs w:val="22"/>
              </w:rPr>
              <w:t xml:space="preserve"> vyraujantis šviestuvų ir lempų tipas, apšvietimo valdymas (rankinis, automatinis pagal laiką,  apšvietą, žmonių buvimą ...), ar naudojamas išorinis pastato ar teritorijos apšvietimas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79" w:type="pct"/>
          </w:tcPr>
          <w:p w14:paraId="352EB55B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FA52E1" w14:paraId="4173E88E" w14:textId="77777777">
        <w:tc>
          <w:tcPr>
            <w:tcW w:w="372" w:type="pct"/>
          </w:tcPr>
          <w:p w14:paraId="2A3BAC77" w14:textId="77777777" w:rsidR="00FA52E1" w:rsidRDefault="00FA52E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2349" w:type="pct"/>
            <w:vAlign w:val="center"/>
          </w:tcPr>
          <w:p w14:paraId="4E54157D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Paminėtina elektrą vartojanti įranga, procesai, stambesnės vartojimo grupės </w:t>
            </w:r>
          </w:p>
          <w:p w14:paraId="0AC94876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pvz., kompiuterių, duomenų centrai, komunikaciniai mazgai, ir pan</w:t>
            </w:r>
            <w:r>
              <w:rPr>
                <w:bCs/>
                <w:iCs/>
                <w:sz w:val="22"/>
                <w:szCs w:val="22"/>
              </w:rPr>
              <w:t>.)</w:t>
            </w:r>
          </w:p>
        </w:tc>
        <w:tc>
          <w:tcPr>
            <w:tcW w:w="2279" w:type="pct"/>
          </w:tcPr>
          <w:p w14:paraId="66ED877E" w14:textId="77777777" w:rsidR="00FA52E1" w:rsidRDefault="00FA52E1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2C189F2F" w14:textId="397310DE" w:rsidR="00E1570C" w:rsidRDefault="00E1570C" w:rsidP="006B258F"/>
    <w:p w14:paraId="51FE577B" w14:textId="60A51C8F" w:rsidR="006B258F" w:rsidRPr="006B258F" w:rsidRDefault="006B258F" w:rsidP="006B258F">
      <w:r w:rsidRPr="006B258F">
        <w:t>OBJEKTO ŠILUMOS SĄNAUDŲ DUOMENYS</w:t>
      </w:r>
      <w:r w:rsidR="00A3567E">
        <w:rPr>
          <w:rStyle w:val="FootnoteReference"/>
        </w:rPr>
        <w:footnoteReference w:id="3"/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987"/>
        <w:gridCol w:w="1417"/>
        <w:gridCol w:w="3402"/>
      </w:tblGrid>
      <w:tr w:rsidR="006B258F" w:rsidRPr="006B258F" w14:paraId="0D7A39BA" w14:textId="77777777" w:rsidTr="006B258F">
        <w:trPr>
          <w:trHeight w:val="324"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C401" w14:textId="77777777" w:rsidR="006B258F" w:rsidRPr="006B258F" w:rsidRDefault="006B258F" w:rsidP="006B258F">
            <w:pPr>
              <w:ind w:firstLine="22"/>
            </w:pPr>
            <w:r w:rsidRPr="006B258F">
              <w:t>20.. m.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31A7" w14:textId="77777777" w:rsidR="006B258F" w:rsidRPr="006B258F" w:rsidRDefault="006B258F" w:rsidP="006B258F">
            <w:r w:rsidRPr="006B258F">
              <w:rPr>
                <w:sz w:val="22"/>
                <w:szCs w:val="22"/>
              </w:rPr>
              <w:t>Kuro | Šilumos, vnt. | MWh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C4F7" w14:textId="77777777" w:rsidR="006B258F" w:rsidRPr="006B258F" w:rsidRDefault="006B258F" w:rsidP="006B258F">
            <w:r w:rsidRPr="006B258F">
              <w:t>Išlaidų, €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DD6C" w14:textId="4E8D776A" w:rsidR="006B258F" w:rsidRPr="006B258F" w:rsidRDefault="006B258F" w:rsidP="006B258F">
            <w:r w:rsidRPr="006B258F">
              <w:t>Pastabos</w:t>
            </w:r>
            <w:r>
              <w:t>:</w:t>
            </w:r>
          </w:p>
        </w:tc>
      </w:tr>
      <w:tr w:rsidR="006B258F" w:rsidRPr="006B258F" w14:paraId="5DF6F400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3E9B" w14:textId="77777777" w:rsidR="006B258F" w:rsidRPr="006B258F" w:rsidRDefault="006B258F" w:rsidP="006B258F">
            <w:pPr>
              <w:ind w:firstLine="22"/>
            </w:pPr>
            <w:r w:rsidRPr="006B258F">
              <w:t>Sausis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9653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DC13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8A4A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00560CC2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89E7" w14:textId="77777777" w:rsidR="006B258F" w:rsidRPr="006B258F" w:rsidRDefault="006B258F" w:rsidP="006B258F">
            <w:pPr>
              <w:ind w:firstLine="22"/>
            </w:pPr>
            <w:r w:rsidRPr="006B258F">
              <w:t>...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54F5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2661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15F3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578FF6A3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41D29" w14:textId="77777777" w:rsidR="006B258F" w:rsidRPr="006B258F" w:rsidRDefault="006B258F" w:rsidP="006B258F">
            <w:pPr>
              <w:ind w:firstLine="22"/>
            </w:pPr>
            <w:r w:rsidRPr="006B258F">
              <w:t>Gruodis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6797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EED4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E6DA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38536914" w14:textId="77777777" w:rsidTr="006B258F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B9F5" w14:textId="77777777" w:rsidR="006B258F" w:rsidRPr="006B258F" w:rsidRDefault="006B258F" w:rsidP="006B258F">
            <w:pPr>
              <w:ind w:firstLine="22"/>
            </w:pPr>
            <w:r w:rsidRPr="006B258F">
              <w:rPr>
                <w:b/>
                <w:bCs/>
              </w:rPr>
              <w:t>Iš viso: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D7AE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E25D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CD71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</w:tr>
    </w:tbl>
    <w:p w14:paraId="383F1852" w14:textId="1B451027" w:rsidR="006B258F" w:rsidRDefault="006B258F" w:rsidP="006B258F">
      <w:r w:rsidRPr="006B258F">
        <w:t>Pastaba: Faktinės šildymo sezono pabaigos ir pradžios datos: 20.. MM DD ir 20.. MM DD.</w:t>
      </w:r>
      <w:r w:rsidR="00E1570C">
        <w:t xml:space="preserve"> </w:t>
      </w:r>
    </w:p>
    <w:p w14:paraId="564551CD" w14:textId="55E8A307" w:rsidR="006B258F" w:rsidRPr="006B258F" w:rsidRDefault="006B258F" w:rsidP="006B258F">
      <w:r w:rsidRPr="006B258F">
        <w:t>OBJEKTO KARŠTO VANDENS SĄNAUDŲ DUOMENYS</w:t>
      </w:r>
      <w:r w:rsidR="00B45D84" w:rsidRPr="00B45D84">
        <w:rPr>
          <w:vertAlign w:val="superscript"/>
        </w:rPr>
        <w:t>2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420"/>
        <w:gridCol w:w="5386"/>
      </w:tblGrid>
      <w:tr w:rsidR="006B258F" w:rsidRPr="006B258F" w14:paraId="55B7A6F6" w14:textId="77777777" w:rsidTr="006B258F">
        <w:trPr>
          <w:trHeight w:val="324"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6DA7" w14:textId="5FEA9890" w:rsidR="006B258F" w:rsidRPr="006B258F" w:rsidRDefault="006B258F" w:rsidP="006B258F">
            <w:r w:rsidRPr="006B258F">
              <w:t> 20.. m.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7A2E" w14:textId="77777777" w:rsidR="006B258F" w:rsidRPr="006B258F" w:rsidRDefault="006B258F" w:rsidP="006B258F">
            <w:r w:rsidRPr="006B258F">
              <w:t>Karšto vandens, m³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20BC" w14:textId="7C12ACC2" w:rsidR="006B258F" w:rsidRPr="006B258F" w:rsidRDefault="006B258F" w:rsidP="006B258F">
            <w:r w:rsidRPr="006B258F">
              <w:t>Pastabos</w:t>
            </w:r>
            <w:r>
              <w:t>:</w:t>
            </w:r>
          </w:p>
        </w:tc>
      </w:tr>
      <w:tr w:rsidR="006B258F" w:rsidRPr="006B258F" w14:paraId="65E452D5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FCF8" w14:textId="77777777" w:rsidR="006B258F" w:rsidRPr="006B258F" w:rsidRDefault="006B258F" w:rsidP="006B258F">
            <w:r w:rsidRPr="006B258F">
              <w:t>Sausis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6228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4484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0675174E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9388" w14:textId="77777777" w:rsidR="006B258F" w:rsidRPr="006B258F" w:rsidRDefault="006B258F" w:rsidP="006B258F">
            <w:r w:rsidRPr="006B258F">
              <w:t>...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719E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907F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01B23271" w14:textId="77777777" w:rsidTr="006B258F">
        <w:trPr>
          <w:trHeight w:val="31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C388" w14:textId="77777777" w:rsidR="006B258F" w:rsidRPr="006B258F" w:rsidRDefault="006B258F" w:rsidP="006B258F">
            <w:r w:rsidRPr="006B258F">
              <w:t>Gruodis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1B16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FD4C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28170AEC" w14:textId="77777777" w:rsidTr="006B258F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C6C2" w14:textId="77777777" w:rsidR="006B258F" w:rsidRPr="006B258F" w:rsidRDefault="006B258F" w:rsidP="006B258F">
            <w:r w:rsidRPr="006B258F">
              <w:rPr>
                <w:b/>
                <w:bCs/>
              </w:rPr>
              <w:t>Iš viso: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D2AE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0B4B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</w:tr>
    </w:tbl>
    <w:p w14:paraId="7C2F02E3" w14:textId="77777777" w:rsidR="00FE651F" w:rsidRDefault="00FE651F"/>
    <w:p w14:paraId="057D33BB" w14:textId="65BCF1D5" w:rsidR="006B258F" w:rsidRPr="006B258F" w:rsidRDefault="006B258F" w:rsidP="006B258F">
      <w:r w:rsidRPr="006B258F">
        <w:t>OBJEKTO ELEKTROS SĄNAUDŲ DUOMENYS</w:t>
      </w:r>
      <w:r w:rsidR="00B45D84" w:rsidRPr="00B45D84">
        <w:rPr>
          <w:vertAlign w:val="superscript"/>
        </w:rPr>
        <w:t>2</w:t>
      </w:r>
    </w:p>
    <w:tbl>
      <w:tblPr>
        <w:tblW w:w="90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4100"/>
      </w:tblGrid>
      <w:tr w:rsidR="006B258F" w:rsidRPr="006B258F" w14:paraId="44B42115" w14:textId="77777777" w:rsidTr="617BD4E3">
        <w:trPr>
          <w:trHeight w:val="324"/>
          <w:tblHeader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99F9" w14:textId="2D0F26CC" w:rsidR="006B258F" w:rsidRPr="006B258F" w:rsidRDefault="006B258F" w:rsidP="006B258F">
            <w:r w:rsidRPr="006B258F">
              <w:t> 20.. m.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C299" w14:textId="77777777" w:rsidR="006B258F" w:rsidRPr="006B258F" w:rsidRDefault="006B258F" w:rsidP="006B258F">
            <w:r w:rsidRPr="006B258F">
              <w:t>Elektros, MWh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1297" w14:textId="77777777" w:rsidR="006B258F" w:rsidRPr="006B258F" w:rsidRDefault="006B258F" w:rsidP="006B258F">
            <w:r w:rsidRPr="006B258F">
              <w:t>Išlaidų, €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0EBD" w14:textId="362D1F33" w:rsidR="006B258F" w:rsidRPr="006B258F" w:rsidRDefault="006B258F" w:rsidP="006B258F">
            <w:r w:rsidRPr="006B258F">
              <w:t>Pastabos</w:t>
            </w:r>
            <w:r>
              <w:t>:</w:t>
            </w:r>
          </w:p>
        </w:tc>
      </w:tr>
      <w:tr w:rsidR="006B258F" w:rsidRPr="006B258F" w14:paraId="69EAF53B" w14:textId="77777777" w:rsidTr="617BD4E3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F3DA" w14:textId="77777777" w:rsidR="006B258F" w:rsidRPr="006B258F" w:rsidRDefault="006B258F" w:rsidP="006B258F">
            <w:r w:rsidRPr="006B258F">
              <w:t>Sausis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C823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CDAB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E2A0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32C9D461" w14:textId="77777777" w:rsidTr="617BD4E3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C1DB" w14:textId="77777777" w:rsidR="006B258F" w:rsidRPr="006B258F" w:rsidRDefault="006B258F" w:rsidP="006B258F">
            <w:r w:rsidRPr="006B258F">
              <w:t>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DE34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3D3E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50E3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1A1C6D97" w14:textId="77777777" w:rsidTr="617BD4E3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64C2" w14:textId="77777777" w:rsidR="006B258F" w:rsidRPr="006B258F" w:rsidRDefault="006B258F" w:rsidP="006B258F">
            <w:r w:rsidRPr="006B258F">
              <w:t>Gruodis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1FF3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6CF8" w14:textId="77777777" w:rsidR="006B258F" w:rsidRPr="006B258F" w:rsidRDefault="006B258F" w:rsidP="006B258F">
            <w:r w:rsidRPr="006B258F"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28B5" w14:textId="77777777" w:rsidR="006B258F" w:rsidRPr="006B258F" w:rsidRDefault="006B258F" w:rsidP="006B258F">
            <w:r w:rsidRPr="006B258F">
              <w:t> </w:t>
            </w:r>
          </w:p>
        </w:tc>
      </w:tr>
      <w:tr w:rsidR="006B258F" w:rsidRPr="006B258F" w14:paraId="2393C6B5" w14:textId="77777777" w:rsidTr="617BD4E3">
        <w:trPr>
          <w:trHeight w:val="3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F86C" w14:textId="422A21CA" w:rsidR="006B258F" w:rsidRPr="006B258F" w:rsidRDefault="69A9CB09" w:rsidP="006B258F">
            <w:r w:rsidRPr="617BD4E3">
              <w:rPr>
                <w:b/>
                <w:bCs/>
              </w:rPr>
              <w:t>Iš v</w:t>
            </w:r>
            <w:r w:rsidR="006B258F" w:rsidRPr="617BD4E3">
              <w:rPr>
                <w:b/>
                <w:bCs/>
              </w:rPr>
              <w:t>iso: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146A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DD6F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A445" w14:textId="77777777" w:rsidR="006B258F" w:rsidRPr="006B258F" w:rsidRDefault="006B258F" w:rsidP="006B258F">
            <w:r w:rsidRPr="006B258F">
              <w:rPr>
                <w:b/>
                <w:bCs/>
              </w:rPr>
              <w:t> </w:t>
            </w:r>
          </w:p>
        </w:tc>
      </w:tr>
    </w:tbl>
    <w:p w14:paraId="23A53D04" w14:textId="77777777" w:rsidR="00B204DF" w:rsidRDefault="00B204DF" w:rsidP="00B204DF">
      <w:pPr>
        <w:jc w:val="center"/>
      </w:pPr>
    </w:p>
    <w:p w14:paraId="3C752D27" w14:textId="367AE4B8" w:rsidR="00B204DF" w:rsidRDefault="00B204DF" w:rsidP="00B204DF">
      <w:pPr>
        <w:jc w:val="center"/>
      </w:pPr>
      <w:r>
        <w:t>___________________</w:t>
      </w:r>
    </w:p>
    <w:sectPr w:rsidR="00B204D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428C" w14:textId="77777777" w:rsidR="00CB0EF3" w:rsidRDefault="00CB0EF3" w:rsidP="00F95BCF">
      <w:pPr>
        <w:spacing w:after="0" w:line="240" w:lineRule="auto"/>
      </w:pPr>
      <w:r>
        <w:separator/>
      </w:r>
    </w:p>
  </w:endnote>
  <w:endnote w:type="continuationSeparator" w:id="0">
    <w:p w14:paraId="2BE8524B" w14:textId="77777777" w:rsidR="00CB0EF3" w:rsidRDefault="00CB0EF3" w:rsidP="00F95BCF">
      <w:pPr>
        <w:spacing w:after="0" w:line="240" w:lineRule="auto"/>
      </w:pPr>
      <w:r>
        <w:continuationSeparator/>
      </w:r>
    </w:p>
  </w:endnote>
  <w:endnote w:type="continuationNotice" w:id="1">
    <w:p w14:paraId="32385A26" w14:textId="77777777" w:rsidR="00CB0EF3" w:rsidRDefault="00CB0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2790" w14:textId="77777777" w:rsidR="00CB0EF3" w:rsidRDefault="00CB0EF3" w:rsidP="00F95BCF">
      <w:pPr>
        <w:spacing w:after="0" w:line="240" w:lineRule="auto"/>
      </w:pPr>
      <w:r>
        <w:separator/>
      </w:r>
    </w:p>
  </w:footnote>
  <w:footnote w:type="continuationSeparator" w:id="0">
    <w:p w14:paraId="37E0F42E" w14:textId="77777777" w:rsidR="00CB0EF3" w:rsidRDefault="00CB0EF3" w:rsidP="00F95BCF">
      <w:pPr>
        <w:spacing w:after="0" w:line="240" w:lineRule="auto"/>
      </w:pPr>
      <w:r>
        <w:continuationSeparator/>
      </w:r>
    </w:p>
  </w:footnote>
  <w:footnote w:type="continuationNotice" w:id="1">
    <w:p w14:paraId="5D9EFFE7" w14:textId="77777777" w:rsidR="00CB0EF3" w:rsidRDefault="00CB0EF3">
      <w:pPr>
        <w:spacing w:after="0" w:line="240" w:lineRule="auto"/>
      </w:pPr>
    </w:p>
  </w:footnote>
  <w:footnote w:id="2">
    <w:p w14:paraId="1F30FAF0" w14:textId="6A29C526" w:rsidR="00065EAA" w:rsidRPr="003929A6" w:rsidRDefault="00065EA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4F3A">
        <w:t>Neturint</w:t>
      </w:r>
      <w:r w:rsidR="003929A6">
        <w:t xml:space="preserve"> duomenų, žymėti „</w:t>
      </w:r>
      <w:r w:rsidR="003929A6">
        <w:rPr>
          <w:sz w:val="22"/>
          <w:szCs w:val="22"/>
        </w:rPr>
        <w:t>–</w:t>
      </w:r>
      <w:r w:rsidR="003929A6">
        <w:rPr>
          <w:lang w:val="en-US"/>
        </w:rPr>
        <w:t xml:space="preserve"> “.</w:t>
      </w:r>
    </w:p>
  </w:footnote>
  <w:footnote w:id="3">
    <w:p w14:paraId="39457570" w14:textId="45C49361" w:rsidR="00A3567E" w:rsidRPr="00A3567E" w:rsidRDefault="00A356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15692">
        <w:t>Turi būti p</w:t>
      </w:r>
      <w:r w:rsidR="00015692" w:rsidRPr="00015692">
        <w:t>asirašyta objekto savininko (patikėtinio) įgalioto asmens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615F"/>
    <w:multiLevelType w:val="hybridMultilevel"/>
    <w:tmpl w:val="85D6C6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9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F"/>
    <w:rsid w:val="00015692"/>
    <w:rsid w:val="00065EAA"/>
    <w:rsid w:val="00115068"/>
    <w:rsid w:val="00186F01"/>
    <w:rsid w:val="00330193"/>
    <w:rsid w:val="003929A6"/>
    <w:rsid w:val="004E7A75"/>
    <w:rsid w:val="006B258F"/>
    <w:rsid w:val="00801B1F"/>
    <w:rsid w:val="00812D43"/>
    <w:rsid w:val="0089641D"/>
    <w:rsid w:val="00A3567E"/>
    <w:rsid w:val="00AA1EB6"/>
    <w:rsid w:val="00B204DF"/>
    <w:rsid w:val="00B45D84"/>
    <w:rsid w:val="00B91E24"/>
    <w:rsid w:val="00BB2030"/>
    <w:rsid w:val="00CA77A7"/>
    <w:rsid w:val="00CB0EF3"/>
    <w:rsid w:val="00E14F3A"/>
    <w:rsid w:val="00E1570C"/>
    <w:rsid w:val="00EB3104"/>
    <w:rsid w:val="00F95BCF"/>
    <w:rsid w:val="00FA52E1"/>
    <w:rsid w:val="00FE0546"/>
    <w:rsid w:val="00FE651F"/>
    <w:rsid w:val="1032C9C4"/>
    <w:rsid w:val="617BD4E3"/>
    <w:rsid w:val="69A9C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1D6C"/>
  <w15:chartTrackingRefBased/>
  <w15:docId w15:val="{5CFF3EA7-6DD3-4741-8C0D-5E7F62A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51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B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B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BC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1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EAA"/>
  </w:style>
  <w:style w:type="paragraph" w:styleId="Footer">
    <w:name w:val="footer"/>
    <w:basedOn w:val="Normal"/>
    <w:link w:val="FooterChar"/>
    <w:uiPriority w:val="99"/>
    <w:semiHidden/>
    <w:unhideWhenUsed/>
    <w:rsid w:val="0011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7af2ff67-f640-4663-86b7-2e5cebfb94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864966CB50E49BF88104A03464217" ma:contentTypeVersion="18" ma:contentTypeDescription="Create a new document." ma:contentTypeScope="" ma:versionID="53abc3e201a2541a33378661f52c8b6f">
  <xsd:schema xmlns:xsd="http://www.w3.org/2001/XMLSchema" xmlns:xs="http://www.w3.org/2001/XMLSchema" xmlns:p="http://schemas.microsoft.com/office/2006/metadata/properties" xmlns:ns2="52cb1114-a659-49af-a8a1-f8a6abfefc25" xmlns:ns3="7af2ff67-f640-4663-86b7-2e5cebfb94ed" xmlns:ns4="57ced1c0-dd17-4bc1-a49b-8d58a8b9fb5a" xmlns:ns5="fb82805b-4725-417c-9992-107fa9b8f2e4" targetNamespace="http://schemas.microsoft.com/office/2006/metadata/properties" ma:root="true" ma:fieldsID="66bb9dc6b23652225753adba378b6cb9" ns2:_="" ns3:_="" ns4:_="" ns5:_="">
    <xsd:import namespace="52cb1114-a659-49af-a8a1-f8a6abfefc25"/>
    <xsd:import namespace="7af2ff67-f640-4663-86b7-2e5cebfb94ed"/>
    <xsd:import namespace="57ced1c0-dd17-4bc1-a49b-8d58a8b9fb5a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2ff67-f640-4663-86b7-2e5cebfb94e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32B7A-1F2B-403A-99A8-65C306B130F3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7af2ff67-f640-4663-86b7-2e5cebfb94ed"/>
  </ds:schemaRefs>
</ds:datastoreItem>
</file>

<file path=customXml/itemProps2.xml><?xml version="1.0" encoding="utf-8"?>
<ds:datastoreItem xmlns:ds="http://schemas.openxmlformats.org/officeDocument/2006/customXml" ds:itemID="{33981B3A-7F02-4534-A373-8C6AF8069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7af2ff67-f640-4663-86b7-2e5cebfb94ed"/>
    <ds:schemaRef ds:uri="57ced1c0-dd17-4bc1-a49b-8d58a8b9fb5a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9C6E0-AC7E-4972-A663-88CC74D58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683EC-AF06-4AE5-9B0F-0EA016B84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862</Words>
  <Characters>4914</Characters>
  <Application>Microsoft Office Word</Application>
  <DocSecurity>4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Agnietė Melninkaitienė</dc:creator>
  <cp:keywords/>
  <dc:description/>
  <cp:lastModifiedBy>Ginta Samulienė</cp:lastModifiedBy>
  <cp:revision>16</cp:revision>
  <dcterms:created xsi:type="dcterms:W3CDTF">2024-12-03T18:38:00Z</dcterms:created>
  <dcterms:modified xsi:type="dcterms:W3CDTF">2024-12-05T06:28:00Z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0x010100E33864966CB50E49BF88104A03464217</vt:lpwstr>
  </property>
  <property fmtid="{D5CDD505-2E9C-101B-9397-08002B2CF9AE}" pid="3" name="MediaServiceImageTags">
    <vt:lpwstr/>
  </property>
</Properties>
</file>